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Säffle kommunfullmäktige</w:t>
      </w:r>
    </w:p>
    <w:p>
      <w:pPr>
        <w:pStyle w:val="Heading1"/>
      </w:pPr>
      <w:r>
        <w:t xml:space="preserve">Mobilförbud och studiero i Säffleskolan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Säffle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på 215 poäng, lägre än länsgenomsnittet enligt Kolada 2024. Elever och lärare rapporterar störningar från mobiltelefoner under lektioner.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Säffle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skriftliga ordningsregler med konsekvenser för upprepade överträdelser.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lärare fortbildning i studiero och klassrumshantering.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årligen via elevenkät och redovisa för barn- och utbildningsnämnden.</w:t>
      </w:r>
    </w:p>
    <w:p>
      <w:pPr>
        <w:spacing w:before="360"/>
      </w:pPr>
    </w:p>
    <w:p>
      <w:r>
        <w:t xml:space="preserve">Säffle,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Säffle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2026-06-06T01:48:31.190Z</dcterms:created>
  <dcterms:modified xsi:type="dcterms:W3CDTF">2026-06-06T01:48:31.190Z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